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F11ED" w:rsidRDefault="00AF11ED" w:rsidP="00AF11ED">
      <w:pPr>
        <w:spacing w:after="0" w:line="240" w:lineRule="auto"/>
        <w:ind w:firstLine="360"/>
        <w:rPr>
          <w:b/>
          <w:sz w:val="24"/>
          <w:szCs w:val="24"/>
        </w:rPr>
      </w:pPr>
    </w:p>
    <w:p w:rsidR="00AF11ED" w:rsidRPr="00AF11ED" w:rsidRDefault="00AF11ED" w:rsidP="00AF11ED">
      <w:pPr>
        <w:spacing w:after="0" w:line="240" w:lineRule="auto"/>
        <w:ind w:firstLine="360"/>
        <w:rPr>
          <w:b/>
          <w:sz w:val="24"/>
          <w:szCs w:val="24"/>
        </w:rPr>
      </w:pPr>
      <w:r w:rsidRPr="00AF11ED">
        <w:rPr>
          <w:b/>
          <w:sz w:val="24"/>
          <w:szCs w:val="24"/>
        </w:rPr>
        <w:t>Przebudowa drogi publicznej kategorii powiatowej nr 1127C relacji Zakrzewek – droga nr 189.</w:t>
      </w:r>
    </w:p>
    <w:p w:rsidR="001559FF" w:rsidRPr="001559FF" w:rsidRDefault="001559FF" w:rsidP="00AF11ED">
      <w:pPr>
        <w:spacing w:after="0" w:line="240" w:lineRule="auto"/>
        <w:jc w:val="center"/>
        <w:rPr>
          <w:rFonts w:ascii="Times New Roman" w:hAnsi="Times New Roman"/>
          <w:b/>
          <w:i/>
          <w:sz w:val="24"/>
          <w:szCs w:val="24"/>
        </w:rPr>
      </w:pP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 xml:space="preserve">CPV: 45 00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w:t>
      </w:r>
      <w:proofErr w:type="spellStart"/>
      <w:r w:rsidRPr="001559FF">
        <w:rPr>
          <w:rFonts w:ascii="Times New Roman" w:hAnsi="Times New Roman"/>
          <w:sz w:val="24"/>
          <w:szCs w:val="24"/>
        </w:rPr>
        <w:t>00</w:t>
      </w:r>
      <w:proofErr w:type="spellEnd"/>
      <w:r w:rsidRPr="001559FF">
        <w:rPr>
          <w:rFonts w:ascii="Times New Roman" w:hAnsi="Times New Roman"/>
          <w:sz w:val="24"/>
          <w:szCs w:val="24"/>
        </w:rPr>
        <w:t xml:space="preserve"> – 7 Roboty budowlane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AF11ED" w:rsidRPr="00AF11ED" w:rsidRDefault="00AF11ED" w:rsidP="00AF11ED">
      <w:pPr>
        <w:pStyle w:val="Akapitzlist"/>
        <w:numPr>
          <w:ilvl w:val="0"/>
          <w:numId w:val="21"/>
        </w:numPr>
        <w:jc w:val="both"/>
        <w:rPr>
          <w:sz w:val="24"/>
          <w:szCs w:val="24"/>
        </w:rPr>
      </w:pPr>
      <w:r w:rsidRPr="00AF11ED">
        <w:rPr>
          <w:sz w:val="24"/>
          <w:szCs w:val="24"/>
        </w:rPr>
        <w:t>wykonanie robót pomiarowych w terenie;</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ręcznych robót rozbiórkowych w zakresie rozbiórki obrzeży wraz z ławą betonową oraz ścieku z prefabrykowanych korytek ściekowych (bez naruszania warstwy podbudowy) wraz z wywiezieniem pozyskanego gruzu w miejsce wskazane przez Zamawiającego;</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ustawienie krawężników betonowych ulicznych na ławie betonowej z oporem w śladzie rozebranych obrzeży betonowych;</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 xml:space="preserve">wykonanie ręcznych robót ziemnych – koryto pod warstwy konstrukcyjne nawierzchni jezdni drogi </w:t>
      </w:r>
      <w:bookmarkStart w:id="0" w:name="_Hlk87436004"/>
      <w:r w:rsidRPr="00CD47EF">
        <w:rPr>
          <w:rFonts w:ascii="Times New Roman" w:hAnsi="Times New Roman"/>
          <w:sz w:val="24"/>
          <w:szCs w:val="24"/>
        </w:rPr>
        <w:t xml:space="preserve">(poszerzenie w pełnej konstrukcji) </w:t>
      </w:r>
      <w:bookmarkEnd w:id="0"/>
      <w:r w:rsidRPr="00CD47EF">
        <w:rPr>
          <w:rFonts w:ascii="Times New Roman" w:hAnsi="Times New Roman"/>
          <w:sz w:val="24"/>
          <w:szCs w:val="24"/>
        </w:rPr>
        <w:t>oraz usunięcie gruntu z powierzchni opasek oraz powierzchni przeznaczonych do poszerzenia;</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ręcznych robót ziemnych – koryto pod warstwy konstrukcyjne nawierzchni jezdni drogi (poszerzenie w pełnej konstrukcji) oraz usunięcie gruntu z powierzchni opasek oraz powierzchni przeznaczonych do poszerzenia;</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lastRenderedPageBreak/>
        <w:t>wykonanie profilowania i zagęszczenia podłoża pod warstwy konstrukcyjne poszerzenia                       i zjazdów;</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wywiezienie urobku z miejsce wskazane przez Zamawiającego;</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color w:val="000000"/>
          <w:sz w:val="24"/>
          <w:szCs w:val="24"/>
          <w:lang w:eastAsia="pl-PL"/>
        </w:rPr>
        <w:t xml:space="preserve">profilowanie i zagęszczanie podłoża wykonywane ręcznie pod warstwy konstrukcyjne nawierzchni jezdni </w:t>
      </w:r>
      <w:r w:rsidRPr="00CD47EF">
        <w:rPr>
          <w:rFonts w:ascii="Times New Roman" w:hAnsi="Times New Roman"/>
          <w:sz w:val="24"/>
          <w:szCs w:val="24"/>
        </w:rPr>
        <w:t>(poszerzenie w pełnej konstrukcji);</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color w:val="000000"/>
          <w:sz w:val="24"/>
          <w:szCs w:val="24"/>
          <w:lang w:eastAsia="pl-PL"/>
        </w:rPr>
        <w:t>profilowanie i zagęszczanie podłoża wykonywane mechanicznie pod warstwy konstrukcyjne nawierzchni  zjazdów;</w:t>
      </w:r>
    </w:p>
    <w:p w:rsidR="00AF11ED" w:rsidRPr="00CD47EF"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color w:val="000000"/>
          <w:sz w:val="24"/>
          <w:szCs w:val="24"/>
          <w:lang w:eastAsia="pl-PL"/>
        </w:rPr>
        <w:t>wykonanie remontu cząstkowego betonem asfaltowym na gr. 6-10 cm;</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z gruntu stabilizowanego spoiwem hydraulicznym o Rm = 2,5 MPa                    gr. 15 cm (poszerzenie);</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z gruntu stabilizowanego spoiwem hydraulicznym o Rm = 2,5 MPa                    gr. 20 cm (zjazdy);</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 xml:space="preserve">wykonanie warstwy z gruntu stabilizowanego spoiwem hydraulicznym o Rm = 5,0 MPa                     gr. </w:t>
      </w:r>
      <w:proofErr w:type="spellStart"/>
      <w:r w:rsidRPr="00CD47EF">
        <w:rPr>
          <w:rFonts w:ascii="Times New Roman" w:hAnsi="Times New Roman"/>
          <w:sz w:val="24"/>
          <w:szCs w:val="24"/>
        </w:rPr>
        <w:t>śr</w:t>
      </w:r>
      <w:proofErr w:type="spellEnd"/>
      <w:r w:rsidRPr="00CD47EF">
        <w:rPr>
          <w:rFonts w:ascii="Times New Roman" w:hAnsi="Times New Roman"/>
          <w:sz w:val="24"/>
          <w:szCs w:val="24"/>
        </w:rPr>
        <w:t>. 10 cm (poszerzenie);</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podbudowy z kruszywa łamanego stabilizowanego mechanicznie                               gr. 20 cm (poszerzenie w pełnej konstrukcji, zjazdy, poszerzenie w śladzie koryt ściekowych);</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podbudowy z betonu asfaltowego gr. 7 cm (poszerzenie w pełnej konstrukcji) wraz ze spryskaniem emulsją asfaltową;</w:t>
      </w:r>
    </w:p>
    <w:p w:rsid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wiążącej z betonu asfaltowego gr. 3 cm na całej szerokości jezdni drogi (5,00 – 5,50 m) oraz nawierzchni zjazdów wraz ze spryskaniem emulsją asfaltową;</w:t>
      </w:r>
    </w:p>
    <w:p w:rsidR="00AF11ED" w:rsidRPr="00AF11ED" w:rsidRDefault="00AF11ED" w:rsidP="00AF11ED">
      <w:pPr>
        <w:numPr>
          <w:ilvl w:val="0"/>
          <w:numId w:val="21"/>
        </w:numPr>
        <w:spacing w:after="0" w:line="240" w:lineRule="auto"/>
        <w:jc w:val="both"/>
        <w:rPr>
          <w:rFonts w:ascii="Times New Roman" w:hAnsi="Times New Roman"/>
          <w:sz w:val="24"/>
          <w:szCs w:val="24"/>
        </w:rPr>
      </w:pPr>
      <w:r w:rsidRPr="00CD47EF">
        <w:rPr>
          <w:rFonts w:ascii="Times New Roman" w:hAnsi="Times New Roman"/>
          <w:sz w:val="24"/>
          <w:szCs w:val="24"/>
        </w:rPr>
        <w:t>wykonanie warstwy ścieralnej z betonu asfaltowego gr. 3 cm na całej szerokości jezdni drogi (5,00 – 5,50 m) oraz nawierzchni zjazdów bitumicznych.</w:t>
      </w:r>
    </w:p>
    <w:p w:rsidR="001559FF" w:rsidRPr="001559FF" w:rsidRDefault="001559FF" w:rsidP="00AF11ED">
      <w:pPr>
        <w:pStyle w:val="Akapitzlist1"/>
        <w:numPr>
          <w:ilvl w:val="0"/>
          <w:numId w:val="2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 xml:space="preserve">Szczegółowy zakres prac składających się na przedmiot zamówienia określa dokumentacja projektowa stanowiąca załączniki do umowy. </w:t>
      </w:r>
    </w:p>
    <w:p w:rsidR="001559FF" w:rsidRPr="001559FF" w:rsidRDefault="001559FF" w:rsidP="00AF11ED">
      <w:pPr>
        <w:pStyle w:val="Akapitzlist1"/>
        <w:numPr>
          <w:ilvl w:val="0"/>
          <w:numId w:val="2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AF11ED">
      <w:pPr>
        <w:pStyle w:val="Akapitzlist1"/>
        <w:numPr>
          <w:ilvl w:val="0"/>
          <w:numId w:val="2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AF11ED">
      <w:pPr>
        <w:pStyle w:val="Akapitzlist1"/>
        <w:numPr>
          <w:ilvl w:val="0"/>
          <w:numId w:val="2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AF11ED">
      <w:pPr>
        <w:pStyle w:val="Akapitzlist1"/>
        <w:numPr>
          <w:ilvl w:val="0"/>
          <w:numId w:val="2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AF11ED">
      <w:pPr>
        <w:pStyle w:val="Akapitzlist1"/>
        <w:numPr>
          <w:ilvl w:val="0"/>
          <w:numId w:val="2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lastRenderedPageBreak/>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 xml:space="preserve">c) zakończenie robót: </w:t>
      </w:r>
      <w:r w:rsidR="008B6F14">
        <w:rPr>
          <w:rFonts w:ascii="Times New Roman" w:hAnsi="Times New Roman"/>
          <w:sz w:val="24"/>
          <w:szCs w:val="24"/>
        </w:rPr>
        <w:t>27 grudnia 201 r.</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lastRenderedPageBreak/>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lastRenderedPageBreak/>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lastRenderedPageBreak/>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lastRenderedPageBreak/>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lastRenderedPageBreak/>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D0221C"/>
    <w:multiLevelType w:val="hybridMultilevel"/>
    <w:tmpl w:val="A6604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407C79"/>
    <w:multiLevelType w:val="hybridMultilevel"/>
    <w:tmpl w:val="91F0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9">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6"/>
  </w:num>
  <w:num w:numId="5">
    <w:abstractNumId w:val="1"/>
  </w:num>
  <w:num w:numId="6">
    <w:abstractNumId w:val="2"/>
  </w:num>
  <w:num w:numId="7">
    <w:abstractNumId w:val="5"/>
  </w:num>
  <w:num w:numId="8">
    <w:abstractNumId w:val="10"/>
  </w:num>
  <w:num w:numId="9">
    <w:abstractNumId w:val="0"/>
  </w:num>
  <w:num w:numId="10">
    <w:abstractNumId w:val="4"/>
  </w:num>
  <w:num w:numId="11">
    <w:abstractNumId w:val="8"/>
  </w:num>
  <w:num w:numId="12">
    <w:abstractNumId w:val="14"/>
  </w:num>
  <w:num w:numId="13">
    <w:abstractNumId w:val="18"/>
  </w:num>
  <w:num w:numId="14">
    <w:abstractNumId w:val="17"/>
  </w:num>
  <w:num w:numId="15">
    <w:abstractNumId w:val="9"/>
  </w:num>
  <w:num w:numId="16">
    <w:abstractNumId w:val="11"/>
  </w:num>
  <w:num w:numId="17">
    <w:abstractNumId w:val="20"/>
  </w:num>
  <w:num w:numId="18">
    <w:abstractNumId w:val="13"/>
  </w:num>
  <w:num w:numId="19">
    <w:abstractNumId w:val="1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559FF"/>
    <w:rsid w:val="000F2709"/>
    <w:rsid w:val="001559FF"/>
    <w:rsid w:val="0024708E"/>
    <w:rsid w:val="002D4C5B"/>
    <w:rsid w:val="002E7655"/>
    <w:rsid w:val="0037053E"/>
    <w:rsid w:val="006F44A8"/>
    <w:rsid w:val="00734282"/>
    <w:rsid w:val="007470CC"/>
    <w:rsid w:val="007E4C31"/>
    <w:rsid w:val="007F160D"/>
    <w:rsid w:val="007F675C"/>
    <w:rsid w:val="008B6F14"/>
    <w:rsid w:val="009A571D"/>
    <w:rsid w:val="00A34F21"/>
    <w:rsid w:val="00AE26FA"/>
    <w:rsid w:val="00AF11ED"/>
    <w:rsid w:val="00B07EE6"/>
    <w:rsid w:val="00C4491A"/>
    <w:rsid w:val="00E07C8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5350</Words>
  <Characters>32105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5</cp:revision>
  <dcterms:created xsi:type="dcterms:W3CDTF">2021-11-12T12:21:00Z</dcterms:created>
  <dcterms:modified xsi:type="dcterms:W3CDTF">2021-11-22T09:39:00Z</dcterms:modified>
</cp:coreProperties>
</file>